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14B34" w14:textId="77777777" w:rsidR="0027397F" w:rsidRPr="0027397F" w:rsidRDefault="0027397F" w:rsidP="0027397F">
      <w:bookmarkStart w:id="0" w:name="_GoBack"/>
      <w:bookmarkEnd w:id="0"/>
      <w:r w:rsidRPr="0027397F">
        <w:t xml:space="preserve">Dear Governor Hochul,  </w:t>
      </w:r>
    </w:p>
    <w:p w14:paraId="6434D44A" w14:textId="356CF072" w:rsidR="001E25DD" w:rsidRDefault="0027397F" w:rsidP="0027397F">
      <w:pPr>
        <w:rPr>
          <w:b/>
        </w:rPr>
      </w:pPr>
      <w:r w:rsidRPr="0027397F">
        <w:rPr>
          <w:b/>
        </w:rPr>
        <w:t>I strongly urge you to sign the “Doorways to Donation Act of 2021” (</w:t>
      </w:r>
      <w:hyperlink r:id="rId7" w:history="1">
        <w:r w:rsidRPr="0027397F">
          <w:rPr>
            <w:rStyle w:val="Hyperlink"/>
            <w:b/>
          </w:rPr>
          <w:t>A.6392 Peoples-Stokes/S.5973 Hinchey</w:t>
        </w:r>
      </w:hyperlink>
      <w:r w:rsidRPr="0027397F">
        <w:rPr>
          <w:b/>
        </w:rPr>
        <w:t>)</w:t>
      </w:r>
      <w:r w:rsidR="00D2457D">
        <w:rPr>
          <w:b/>
        </w:rPr>
        <w:t xml:space="preserve"> </w:t>
      </w:r>
      <w:r w:rsidR="001E25DD" w:rsidRPr="001E25DD">
        <w:rPr>
          <w:b/>
        </w:rPr>
        <w:t xml:space="preserve">into law preserving </w:t>
      </w:r>
      <w:r w:rsidR="006E0360">
        <w:rPr>
          <w:b/>
        </w:rPr>
        <w:t>its intent to require</w:t>
      </w:r>
      <w:r w:rsidR="001E25DD" w:rsidRPr="001E25DD">
        <w:rPr>
          <w:b/>
        </w:rPr>
        <w:t xml:space="preserve"> the </w:t>
      </w:r>
      <w:r w:rsidR="006E0360">
        <w:rPr>
          <w:b/>
        </w:rPr>
        <w:t xml:space="preserve">incorporation of the </w:t>
      </w:r>
      <w:r w:rsidR="001E25DD">
        <w:rPr>
          <w:b/>
        </w:rPr>
        <w:t xml:space="preserve">New York State Donate Life Registry </w:t>
      </w:r>
      <w:r w:rsidR="001E25DD" w:rsidRPr="001E25DD">
        <w:rPr>
          <w:b/>
        </w:rPr>
        <w:t>donor designation qu</w:t>
      </w:r>
      <w:r w:rsidR="001E25DD">
        <w:rPr>
          <w:b/>
        </w:rPr>
        <w:t>estion into additional state agency-based transactions conducted through:</w:t>
      </w:r>
      <w:r w:rsidR="001E25DD" w:rsidRPr="001E25DD">
        <w:rPr>
          <w:b/>
        </w:rPr>
        <w:t xml:space="preserve">    </w:t>
      </w:r>
    </w:p>
    <w:p w14:paraId="59C10C2C" w14:textId="77777777" w:rsidR="001E25DD" w:rsidRPr="00E00EE2" w:rsidRDefault="001E25DD" w:rsidP="001E25DD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E00EE2">
        <w:rPr>
          <w:b/>
          <w:bCs/>
          <w:sz w:val="22"/>
          <w:szCs w:val="22"/>
        </w:rPr>
        <w:t>the Office of Temporary Disability Assistance;</w:t>
      </w:r>
    </w:p>
    <w:p w14:paraId="5DFCE666" w14:textId="77777777" w:rsidR="001E25DD" w:rsidRPr="00E00EE2" w:rsidRDefault="001E25DD" w:rsidP="001E25DD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E00EE2">
        <w:rPr>
          <w:b/>
          <w:bCs/>
          <w:sz w:val="22"/>
          <w:szCs w:val="22"/>
        </w:rPr>
        <w:t>the Higher Education Services Corporation;</w:t>
      </w:r>
    </w:p>
    <w:p w14:paraId="4A1FBEE8" w14:textId="77777777" w:rsidR="001E25DD" w:rsidRPr="00E00EE2" w:rsidRDefault="001E25DD" w:rsidP="001E25DD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E00EE2">
        <w:rPr>
          <w:b/>
          <w:bCs/>
          <w:sz w:val="22"/>
          <w:szCs w:val="22"/>
        </w:rPr>
        <w:t>and the Office of Tax and Finance via tax documents subject to electronic filing.</w:t>
      </w:r>
    </w:p>
    <w:p w14:paraId="1B2ECC34" w14:textId="12FB9CFA" w:rsidR="0027397F" w:rsidRPr="0027397F" w:rsidRDefault="0027397F" w:rsidP="00E00EE2">
      <w:pPr>
        <w:spacing w:after="0"/>
      </w:pPr>
    </w:p>
    <w:p w14:paraId="233354A6" w14:textId="713BF056" w:rsidR="00D2457D" w:rsidRPr="0027397F" w:rsidRDefault="00175539">
      <w:pPr>
        <w:rPr>
          <w:b/>
          <w:bCs/>
        </w:rPr>
      </w:pPr>
      <w:r w:rsidRPr="00E00EE2">
        <w:t xml:space="preserve">This legislation was </w:t>
      </w:r>
      <w:r w:rsidRPr="00E00EE2">
        <w:rPr>
          <w:bCs/>
        </w:rPr>
        <w:t>m</w:t>
      </w:r>
      <w:r w:rsidRPr="00E00EE2">
        <w:t xml:space="preserve">odeled after several successful policies incorporating the opportunity to enroll in </w:t>
      </w:r>
      <w:r w:rsidR="0006114E" w:rsidRPr="00E00EE2">
        <w:t xml:space="preserve">the </w:t>
      </w:r>
      <w:r w:rsidRPr="00E00EE2">
        <w:t>Registry</w:t>
      </w:r>
      <w:r w:rsidR="00693E68" w:rsidRPr="00E00EE2">
        <w:t xml:space="preserve"> during</w:t>
      </w:r>
      <w:r w:rsidRPr="00E00EE2">
        <w:t xml:space="preserve"> agency-based transactions other than those conducted through the DMV</w:t>
      </w:r>
      <w:r w:rsidRPr="00E00EE2">
        <w:rPr>
          <w:bCs/>
        </w:rPr>
        <w:t>.</w:t>
      </w:r>
      <w:r w:rsidR="001E25DD" w:rsidRPr="00E00EE2">
        <w:rPr>
          <w:bCs/>
        </w:rPr>
        <w:t xml:space="preserve"> </w:t>
      </w:r>
      <w:r w:rsidR="001E25DD">
        <w:rPr>
          <w:bCs/>
        </w:rPr>
        <w:t xml:space="preserve">Replicating this best practice at the agencies above will result in </w:t>
      </w:r>
      <w:r w:rsidR="001E25DD" w:rsidRPr="00E00EE2">
        <w:rPr>
          <w:b/>
          <w:bCs/>
          <w:u w:val="single"/>
        </w:rPr>
        <w:t>presenting a</w:t>
      </w:r>
      <w:r w:rsidR="001E25DD" w:rsidRPr="006E0360">
        <w:rPr>
          <w:b/>
          <w:bCs/>
          <w:u w:val="single"/>
        </w:rPr>
        <w:t>pproximately 14 million New Yorkers with ne</w:t>
      </w:r>
      <w:r w:rsidR="001E25DD" w:rsidRPr="00E00EE2">
        <w:rPr>
          <w:b/>
          <w:bCs/>
          <w:u w:val="single"/>
        </w:rPr>
        <w:t xml:space="preserve">w opportunities to enroll as </w:t>
      </w:r>
      <w:r w:rsidR="001E25DD" w:rsidRPr="006E0360">
        <w:rPr>
          <w:b/>
          <w:bCs/>
          <w:u w:val="single"/>
        </w:rPr>
        <w:t>organ and tissue donor</w:t>
      </w:r>
      <w:r w:rsidR="001E25DD" w:rsidRPr="00E00EE2">
        <w:rPr>
          <w:b/>
          <w:bCs/>
          <w:u w:val="single"/>
        </w:rPr>
        <w:t>s</w:t>
      </w:r>
      <w:r w:rsidR="001E25DD" w:rsidRPr="006E0360">
        <w:rPr>
          <w:b/>
          <w:bCs/>
          <w:u w:val="single"/>
        </w:rPr>
        <w:t xml:space="preserve"> on an annual basis</w:t>
      </w:r>
      <w:r w:rsidR="001E25DD" w:rsidRPr="006E0360">
        <w:rPr>
          <w:b/>
          <w:bCs/>
        </w:rPr>
        <w:t>.</w:t>
      </w:r>
    </w:p>
    <w:p w14:paraId="407B1C20" w14:textId="77777777" w:rsidR="00FC68BF" w:rsidRDefault="00D2457D" w:rsidP="0027397F">
      <w:pPr>
        <w:rPr>
          <w:bCs/>
        </w:rPr>
      </w:pPr>
      <w:r w:rsidRPr="00D2457D">
        <w:rPr>
          <w:bCs/>
        </w:rPr>
        <w:t>Increasing opportunities for New Yorkers</w:t>
      </w:r>
      <w:r w:rsidR="00D859AE">
        <w:rPr>
          <w:bCs/>
        </w:rPr>
        <w:t xml:space="preserve"> of all backgrounds</w:t>
      </w:r>
      <w:r w:rsidRPr="00D2457D">
        <w:rPr>
          <w:bCs/>
        </w:rPr>
        <w:t xml:space="preserve"> to enroll as organ and tissue donors is an effective, common sense approach to </w:t>
      </w:r>
      <w:r w:rsidR="00FA4A80">
        <w:rPr>
          <w:bCs/>
        </w:rPr>
        <w:t xml:space="preserve">increase the availability of lifesaving organs for the 8,500 New Yorkers currently listed for transplant. </w:t>
      </w:r>
      <w:r w:rsidR="001C2961" w:rsidRPr="0027397F">
        <w:rPr>
          <w:bCs/>
        </w:rPr>
        <w:t xml:space="preserve">Over the past decade, New York State embraced this policy strategy and the results have been resoundingly positive with </w:t>
      </w:r>
      <w:r w:rsidR="001C2961">
        <w:rPr>
          <w:b/>
          <w:bCs/>
          <w:u w:val="single"/>
        </w:rPr>
        <w:t>nearly one million</w:t>
      </w:r>
      <w:r w:rsidR="001C2961" w:rsidRPr="0027397F">
        <w:rPr>
          <w:bCs/>
        </w:rPr>
        <w:t xml:space="preserve"> Registry enrollments </w:t>
      </w:r>
      <w:r w:rsidR="001C2961">
        <w:rPr>
          <w:bCs/>
        </w:rPr>
        <w:t xml:space="preserve">generated by agency sources other than the DMV. </w:t>
      </w:r>
    </w:p>
    <w:p w14:paraId="6B8866A8" w14:textId="37BD1016" w:rsidR="0027397F" w:rsidRPr="0027397F" w:rsidRDefault="00FC68BF" w:rsidP="0027397F">
      <w:r>
        <w:rPr>
          <w:bCs/>
        </w:rPr>
        <w:t>As many of the proposed transactions take place on an annual basis, i</w:t>
      </w:r>
      <w:r w:rsidR="00FA4A80">
        <w:rPr>
          <w:bCs/>
        </w:rPr>
        <w:t xml:space="preserve">ncorporating the donor </w:t>
      </w:r>
      <w:r w:rsidR="001C2961">
        <w:rPr>
          <w:bCs/>
        </w:rPr>
        <w:t xml:space="preserve">designation question </w:t>
      </w:r>
      <w:r w:rsidR="00FA4A80">
        <w:rPr>
          <w:bCs/>
        </w:rPr>
        <w:t xml:space="preserve">offers New Yorkers </w:t>
      </w:r>
      <w:r w:rsidR="00D2457D" w:rsidRPr="00D2457D">
        <w:rPr>
          <w:bCs/>
        </w:rPr>
        <w:t xml:space="preserve">the chance to make </w:t>
      </w:r>
      <w:r w:rsidR="00FA4A80">
        <w:rPr>
          <w:bCs/>
        </w:rPr>
        <w:t>this</w:t>
      </w:r>
      <w:r w:rsidR="00D2457D" w:rsidRPr="00D2457D">
        <w:rPr>
          <w:bCs/>
        </w:rPr>
        <w:t xml:space="preserve"> </w:t>
      </w:r>
      <w:r w:rsidR="00FA4A80">
        <w:rPr>
          <w:bCs/>
        </w:rPr>
        <w:t>gift on a more frequent basis</w:t>
      </w:r>
      <w:r w:rsidR="00693E68">
        <w:rPr>
          <w:bCs/>
        </w:rPr>
        <w:t>, especially when</w:t>
      </w:r>
      <w:r w:rsidR="00FA4A80">
        <w:rPr>
          <w:bCs/>
        </w:rPr>
        <w:t xml:space="preserve"> compared to the DMV</w:t>
      </w:r>
      <w:r>
        <w:rPr>
          <w:bCs/>
        </w:rPr>
        <w:t>, where d</w:t>
      </w:r>
      <w:r w:rsidR="001C2961">
        <w:rPr>
          <w:bCs/>
        </w:rPr>
        <w:t xml:space="preserve">river license renewal </w:t>
      </w:r>
      <w:r w:rsidR="00FA4A80">
        <w:rPr>
          <w:bCs/>
        </w:rPr>
        <w:t>takes p</w:t>
      </w:r>
      <w:r w:rsidR="001C2961">
        <w:rPr>
          <w:bCs/>
        </w:rPr>
        <w:t>lace just once every eight years</w:t>
      </w:r>
      <w:r>
        <w:rPr>
          <w:bCs/>
        </w:rPr>
        <w:t>. As many of its residents don’t possess a license, this legislation has the potential to make a particular impact in the greater NYC area, which while having the greatest population</w:t>
      </w:r>
      <w:r w:rsidR="00693E68">
        <w:rPr>
          <w:bCs/>
        </w:rPr>
        <w:t xml:space="preserve"> in the state</w:t>
      </w:r>
      <w:r>
        <w:rPr>
          <w:bCs/>
        </w:rPr>
        <w:t xml:space="preserve">, experiences the lowest rates of donor enrollment. </w:t>
      </w:r>
      <w:r w:rsidR="0027397F" w:rsidRPr="0027397F">
        <w:rPr>
          <w:bCs/>
        </w:rPr>
        <w:t xml:space="preserve">This legislation will provide millions of New Yorkers from </w:t>
      </w:r>
      <w:r w:rsidR="00693E68">
        <w:rPr>
          <w:bCs/>
        </w:rPr>
        <w:t xml:space="preserve">hard-to-reach, </w:t>
      </w:r>
      <w:r w:rsidR="0027397F" w:rsidRPr="0027397F">
        <w:rPr>
          <w:bCs/>
        </w:rPr>
        <w:t xml:space="preserve">demographically diverse segments of the population with new and regular opportunities to document their decision to give the gift of life upon their passing. </w:t>
      </w:r>
    </w:p>
    <w:p w14:paraId="6AD72D5F" w14:textId="6DB7642F" w:rsidR="0027397F" w:rsidRPr="0027397F" w:rsidRDefault="0027397F" w:rsidP="0027397F">
      <w:r w:rsidRPr="0027397F">
        <w:rPr>
          <w:b/>
          <w:i/>
        </w:rPr>
        <w:t>Respectfully, I urge you to sign the “Doorways to Donation Act of 2021”(A.6392/S.5973) into law</w:t>
      </w:r>
      <w:r w:rsidR="008A18BF">
        <w:rPr>
          <w:b/>
          <w:i/>
        </w:rPr>
        <w:t>, preserving the inclusion of each of the involved agencies,</w:t>
      </w:r>
      <w:r w:rsidRPr="0027397F">
        <w:rPr>
          <w:b/>
          <w:i/>
        </w:rPr>
        <w:t xml:space="preserve"> so </w:t>
      </w:r>
      <w:r w:rsidR="008A18BF">
        <w:rPr>
          <w:b/>
          <w:i/>
        </w:rPr>
        <w:t xml:space="preserve">that </w:t>
      </w:r>
      <w:r w:rsidRPr="0027397F">
        <w:rPr>
          <w:b/>
          <w:i/>
        </w:rPr>
        <w:t>more New Yorkers can receive the lifesaving organ and tissue transplants they</w:t>
      </w:r>
      <w:r w:rsidR="008A18BF">
        <w:rPr>
          <w:b/>
          <w:i/>
        </w:rPr>
        <w:t xml:space="preserve"> so</w:t>
      </w:r>
      <w:r w:rsidRPr="0027397F">
        <w:rPr>
          <w:b/>
          <w:i/>
        </w:rPr>
        <w:t xml:space="preserve"> desperately need.   </w:t>
      </w:r>
    </w:p>
    <w:p w14:paraId="5BF4768B" w14:textId="77777777" w:rsidR="0027397F" w:rsidRPr="0027397F" w:rsidRDefault="0027397F" w:rsidP="0027397F"/>
    <w:p w14:paraId="4C749507" w14:textId="77777777" w:rsidR="00A132E5" w:rsidRDefault="0087151A"/>
    <w:sectPr w:rsidR="00A1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2E064" w16cex:dateUtc="2021-12-14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4A9AF4" w16cid:durableId="2562E0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588A7" w14:textId="77777777" w:rsidR="00CC2341" w:rsidRDefault="00CC2341" w:rsidP="008A18BF">
      <w:pPr>
        <w:spacing w:after="0" w:line="240" w:lineRule="auto"/>
      </w:pPr>
      <w:r>
        <w:separator/>
      </w:r>
    </w:p>
  </w:endnote>
  <w:endnote w:type="continuationSeparator" w:id="0">
    <w:p w14:paraId="65D95F0F" w14:textId="77777777" w:rsidR="00CC2341" w:rsidRDefault="00CC2341" w:rsidP="008A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6E1D8" w14:textId="77777777" w:rsidR="00CC2341" w:rsidRDefault="00CC2341" w:rsidP="008A18BF">
      <w:pPr>
        <w:spacing w:after="0" w:line="240" w:lineRule="auto"/>
      </w:pPr>
      <w:r>
        <w:separator/>
      </w:r>
    </w:p>
  </w:footnote>
  <w:footnote w:type="continuationSeparator" w:id="0">
    <w:p w14:paraId="1098F715" w14:textId="77777777" w:rsidR="00CC2341" w:rsidRDefault="00CC2341" w:rsidP="008A1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7E85"/>
    <w:multiLevelType w:val="hybridMultilevel"/>
    <w:tmpl w:val="505A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8758A"/>
    <w:multiLevelType w:val="hybridMultilevel"/>
    <w:tmpl w:val="560EBAF8"/>
    <w:lvl w:ilvl="0" w:tplc="3E8E5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7F"/>
    <w:rsid w:val="0006114E"/>
    <w:rsid w:val="00175539"/>
    <w:rsid w:val="001C2961"/>
    <w:rsid w:val="001E25DD"/>
    <w:rsid w:val="0027397F"/>
    <w:rsid w:val="002F2DF2"/>
    <w:rsid w:val="00335D0D"/>
    <w:rsid w:val="00470120"/>
    <w:rsid w:val="0050486F"/>
    <w:rsid w:val="00693E68"/>
    <w:rsid w:val="006E0360"/>
    <w:rsid w:val="008A18BF"/>
    <w:rsid w:val="00B61EE6"/>
    <w:rsid w:val="00B85A8C"/>
    <w:rsid w:val="00CC2341"/>
    <w:rsid w:val="00D2457D"/>
    <w:rsid w:val="00D859AE"/>
    <w:rsid w:val="00E00EE2"/>
    <w:rsid w:val="00E215E5"/>
    <w:rsid w:val="00FA4A80"/>
    <w:rsid w:val="00FC68BF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F695"/>
  <w15:chartTrackingRefBased/>
  <w15:docId w15:val="{D32F53AA-4FF3-48D5-931A-7A75B354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9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BF"/>
  </w:style>
  <w:style w:type="paragraph" w:styleId="Footer">
    <w:name w:val="footer"/>
    <w:basedOn w:val="Normal"/>
    <w:link w:val="FooterChar"/>
    <w:uiPriority w:val="99"/>
    <w:unhideWhenUsed/>
    <w:rsid w:val="008A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BF"/>
  </w:style>
  <w:style w:type="character" w:styleId="CommentReference">
    <w:name w:val="annotation reference"/>
    <w:basedOn w:val="DefaultParagraphFont"/>
    <w:uiPriority w:val="99"/>
    <w:semiHidden/>
    <w:unhideWhenUsed/>
    <w:rsid w:val="00B61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E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5D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assembly.state.ny.us/leg/?default_fld=&amp;leg_video=&amp;bn=A06392&amp;term=&amp;Summary=Y&amp;Text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Tator</dc:creator>
  <cp:keywords/>
  <dc:description/>
  <cp:lastModifiedBy>Aisha Tator</cp:lastModifiedBy>
  <cp:revision>2</cp:revision>
  <dcterms:created xsi:type="dcterms:W3CDTF">2021-12-14T20:17:00Z</dcterms:created>
  <dcterms:modified xsi:type="dcterms:W3CDTF">2021-12-14T20:17:00Z</dcterms:modified>
</cp:coreProperties>
</file>